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Time Varying BC95-JTT-HN-long period</w:t>
      </w:r>
    </w:p>
    <w:p>
      <w:pPr>
        <w:pStyle w:val="Subtitle"/>
      </w:pPr>
      <w:r>
        <w:t/>
      </w:r>
      <w:r>
        <w:t xml:space="preserve"/>
      </w:r>
      <w:r>
        <w:t xml:space="preserve">SFACD BC95-JTT-HN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0.990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 BC95-JTT-HN Efficiency Scores - long period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0.920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0.853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SFACD BC95-JTT-HN Efficiency Scores - long period</w:t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Elasticities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0.967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-0.035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1.071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0.985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Monotonicity Violations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26.9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26.9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14.8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22.2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22.2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9.8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Efficiency Scores - long period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0.933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0.872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Alternative Elasticities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1.176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1.161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0.967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-1.030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-0.149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-0.791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-0.911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-0.085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-0.647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-0.640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0.228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Alternative Monotonicity Violations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91.9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91.9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25.7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33.9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13.8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13.8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28.7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36.7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88.9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88.9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91.9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91.9</w:t>
            </w:r>
          </w:p>
        </w:tc>
      </w:tr>
    </w:tbl>
    <w:p>
      <w:r>
        <w:t/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